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82"/>
        <w:gridCol w:w="7461"/>
        <w:gridCol w:w="312"/>
      </w:tblGrid>
      <w:tr w:rsidR="00790508" w:rsidRPr="00790508" w14:paraId="1592601E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5A066BE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Charakteristika predkladaného výstupu tvorivej činnosti / </w:t>
            </w: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br/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submitted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output</w:t>
            </w:r>
          </w:p>
        </w:tc>
      </w:tr>
      <w:tr w:rsidR="00790508" w:rsidRPr="00790508" w14:paraId="2EE1A5E4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E114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8A07D" w14:textId="77777777" w:rsidR="00B13ACE" w:rsidRPr="00790508" w:rsidRDefault="00B13AC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</w:tr>
      <w:tr w:rsidR="00790508" w:rsidRPr="00790508" w14:paraId="7D0B0D4D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5E47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95089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38C4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FB9916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26B745C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A45B9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2121A2B3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5FCEBD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BC44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852C2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790508" w:rsidRPr="00790508" w14:paraId="11022DFB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0EFC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C4AA3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82DC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40E79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7154B94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AAB5A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F07755F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: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C2EB612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70BB46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3A7106B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15D6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A6852AA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begin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separate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Code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(RAOO):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vertAlign w:val="superscript"/>
                <w:lang w:eastAsia="sk-SK"/>
              </w:rPr>
              <w:t>1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1F382A56" w14:textId="77777777" w:rsidR="00B13ACE" w:rsidRPr="00790508" w:rsidRDefault="003B49FC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8BCF245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095A6E2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D9A1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C0C5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225BF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89ED672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0746566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8301347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06935" w14:textId="77777777" w:rsidR="00B13ACE" w:rsidRPr="001D1329" w:rsidRDefault="003B49FC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0A17C0"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TOMÁNEK</w:t>
            </w:r>
          </w:p>
        </w:tc>
        <w:tc>
          <w:tcPr>
            <w:tcW w:w="312" w:type="dxa"/>
            <w:vAlign w:val="center"/>
          </w:tcPr>
          <w:p w14:paraId="68B0C4A2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A1C457C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62DF21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16F677" w14:textId="77777777" w:rsidR="00B13ACE" w:rsidRPr="001D1329" w:rsidRDefault="000A17C0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Pavol</w:t>
            </w:r>
          </w:p>
        </w:tc>
        <w:tc>
          <w:tcPr>
            <w:tcW w:w="312" w:type="dxa"/>
            <w:vAlign w:val="center"/>
          </w:tcPr>
          <w:p w14:paraId="13FA0847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664F68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9A2A102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07800C" w14:textId="77777777" w:rsidR="00B13ACE" w:rsidRPr="001D1329" w:rsidRDefault="000A17C0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Prof. </w:t>
            </w:r>
            <w:proofErr w:type="spellStart"/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PaedDr</w:t>
            </w:r>
            <w:proofErr w:type="spellEnd"/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PhDr</w:t>
            </w:r>
            <w:proofErr w:type="spellEnd"/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ThDr</w:t>
            </w:r>
            <w:proofErr w:type="spellEnd"/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., PhD., MBA, MHA</w:t>
            </w:r>
          </w:p>
        </w:tc>
        <w:tc>
          <w:tcPr>
            <w:tcW w:w="312" w:type="dxa"/>
            <w:vAlign w:val="center"/>
          </w:tcPr>
          <w:p w14:paraId="3DC840A6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A610831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33553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316A2C" w14:textId="77777777" w:rsidR="00B13ACE" w:rsidRPr="001D1329" w:rsidRDefault="000A17C0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https://www.portalvs.sk/regzam/detail/5833</w:t>
            </w:r>
          </w:p>
        </w:tc>
        <w:tc>
          <w:tcPr>
            <w:tcW w:w="312" w:type="dxa"/>
            <w:vAlign w:val="center"/>
          </w:tcPr>
          <w:p w14:paraId="63C2FC97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70D3766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78429C1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8E4191" w14:textId="77777777" w:rsidR="00451358" w:rsidRDefault="00451358" w:rsidP="00451358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Sociálna práca/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74427E71" w14:textId="2D762873" w:rsidR="00B13ACE" w:rsidRPr="001D1329" w:rsidRDefault="00451358" w:rsidP="00451358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Stupeň 1, 2, 3 / Level 1, 2, 3</w:t>
            </w:r>
          </w:p>
        </w:tc>
        <w:tc>
          <w:tcPr>
            <w:tcW w:w="312" w:type="dxa"/>
            <w:vAlign w:val="center"/>
          </w:tcPr>
          <w:p w14:paraId="35F9B122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F7CF3F8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11319EC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4" w:anchor="Expl.OCA6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D652B8" w14:textId="77777777" w:rsidR="00B13ACE" w:rsidRPr="001D1329" w:rsidRDefault="003B49FC" w:rsidP="002370C6">
            <w:pPr>
              <w:spacing w:after="0" w:line="240" w:lineRule="auto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pedagogický výstup /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pedagogical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1D1329">
              <w:rPr>
                <w:rFonts w:asciiTheme="majorHAnsi" w:hAnsiTheme="majorHAnsi" w:cstheme="majorHAnsi"/>
                <w:bCs/>
                <w:sz w:val="16"/>
                <w:szCs w:val="16"/>
              </w:rPr>
              <w:t>output</w:t>
            </w:r>
          </w:p>
          <w:p w14:paraId="1D302A79" w14:textId="77777777" w:rsidR="00B13ACE" w:rsidRPr="001D1329" w:rsidRDefault="00B13ACE" w:rsidP="002370C6">
            <w:pPr>
              <w:pStyle w:val="Normln1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BDA1E53" w14:textId="77777777" w:rsidR="00B13ACE" w:rsidRPr="001D1329" w:rsidRDefault="007F7C5E" w:rsidP="002370C6">
            <w:pPr>
              <w:pStyle w:val="Normln1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Prochazková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K. –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Tománek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P. et al. 2019. 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Analysis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of 9896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Patients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. In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Clinical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Social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Work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and Health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Intervention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,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10, 2019, s. 67-69.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ISSN 2076-9741/Online. ISSN 2222-386X/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Print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. WOS:000504847400012</w:t>
            </w:r>
          </w:p>
        </w:tc>
        <w:tc>
          <w:tcPr>
            <w:tcW w:w="312" w:type="dxa"/>
            <w:vAlign w:val="center"/>
          </w:tcPr>
          <w:p w14:paraId="59CA4319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349904C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A83B6C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FC7F44" w14:textId="77777777" w:rsidR="00B13ACE" w:rsidRPr="001D1329" w:rsidRDefault="000A17C0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2019</w:t>
            </w:r>
          </w:p>
        </w:tc>
        <w:tc>
          <w:tcPr>
            <w:tcW w:w="312" w:type="dxa"/>
            <w:vAlign w:val="center"/>
          </w:tcPr>
          <w:p w14:paraId="30AB3629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914BC95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8317F70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(CRAA)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F2BEA3" w14:textId="77777777" w:rsidR="007F7C5E" w:rsidRPr="001D1329" w:rsidRDefault="007F7C5E" w:rsidP="002370C6">
            <w:pPr>
              <w:pStyle w:val="Nadpis3"/>
              <w:spacing w:line="240" w:lineRule="auto"/>
              <w:rPr>
                <w:rFonts w:eastAsia="Times New Roman" w:cstheme="majorHAnsi"/>
                <w:sz w:val="16"/>
                <w:szCs w:val="16"/>
                <w:lang w:val="cs-CZ" w:eastAsia="cs-CZ"/>
              </w:rPr>
            </w:pPr>
            <w:r w:rsidRPr="001D1329">
              <w:rPr>
                <w:rFonts w:cstheme="majorHAnsi"/>
                <w:sz w:val="16"/>
                <w:szCs w:val="16"/>
              </w:rPr>
              <w:t>166917</w:t>
            </w:r>
          </w:p>
          <w:p w14:paraId="3488299D" w14:textId="77777777" w:rsidR="00B13ACE" w:rsidRPr="001D1329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6B140ED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2B2A54C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937CF6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2DEB98" w14:textId="77777777" w:rsidR="00B13ACE" w:rsidRPr="001D1329" w:rsidRDefault="007F7C5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https://app.crepc.sk/?fn=detailBiblioFormChildG7LKR&amp;sid=ADD66581470B3E4A194534C3C3&amp;seo=CREP%C4%8C-detail-%C4%8Cl%C3%A1nok</w:t>
            </w:r>
          </w:p>
        </w:tc>
        <w:tc>
          <w:tcPr>
            <w:tcW w:w="312" w:type="dxa"/>
            <w:vAlign w:val="center"/>
          </w:tcPr>
          <w:p w14:paraId="40B3F45F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89C017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2A7C24B6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registered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7991442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AB2661" w14:textId="77777777" w:rsidR="00B13ACE" w:rsidRPr="001D1329" w:rsidRDefault="007F7C5E" w:rsidP="002370C6">
            <w:pPr>
              <w:spacing w:after="0" w:line="240" w:lineRule="auto"/>
              <w:ind w:left="160" w:hangingChars="100" w:hanging="160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https://clinicalsocialwork.eu/journal-4-2019-vol-10/</w:t>
            </w:r>
          </w:p>
        </w:tc>
        <w:tc>
          <w:tcPr>
            <w:tcW w:w="312" w:type="dxa"/>
            <w:vAlign w:val="center"/>
          </w:tcPr>
          <w:p w14:paraId="2EEC4190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DFD439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1D98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32BD9B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bibliographic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record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if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publicly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catalogue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A08135" w14:textId="77777777" w:rsidR="00B13ACE" w:rsidRPr="001D1329" w:rsidRDefault="007F7C5E" w:rsidP="002370C6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Prochazková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K. –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Tománek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P. et al. 2019. 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Analysis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of 9896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Patients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. In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Clinical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Social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Work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and Health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Intervention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,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10, 2019, s. 67-69.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ISSN 2076-9741/Online. ISSN 2222-386X/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Print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. WOS:000504847400012</w:t>
            </w:r>
          </w:p>
        </w:tc>
        <w:tc>
          <w:tcPr>
            <w:tcW w:w="312" w:type="dxa"/>
            <w:vAlign w:val="center"/>
          </w:tcPr>
          <w:p w14:paraId="698993F0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134A896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5E24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976888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8" w:anchor="Expl.OCA12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920AF6" w14:textId="77777777" w:rsidR="00B13ACE" w:rsidRPr="001D1329" w:rsidRDefault="007F7C5E" w:rsidP="002370C6">
            <w:pPr>
              <w:pStyle w:val="Textpoznmkypodiarou"/>
              <w:rPr>
                <w:rFonts w:asciiTheme="majorHAnsi" w:hAnsiTheme="majorHAnsi" w:cstheme="majorHAnsi"/>
                <w:sz w:val="16"/>
                <w:szCs w:val="16"/>
              </w:rPr>
            </w:pP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Vedecký príspevok</w:t>
            </w:r>
            <w:r w:rsidR="003B49FC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/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Scientific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Artikel</w:t>
            </w:r>
          </w:p>
          <w:p w14:paraId="66BB6C3C" w14:textId="77777777" w:rsidR="00B13ACE" w:rsidRPr="001D1329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F343727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963F033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45F0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02E75E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webpage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where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full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documentation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6DB0D4" w14:textId="77777777" w:rsidR="007F7C5E" w:rsidRPr="001D1329" w:rsidRDefault="005D6F00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val="cs-CZ" w:eastAsia="cs-CZ"/>
              </w:rPr>
            </w:pPr>
            <w:hyperlink r:id="rId19" w:tgtFrame="_blank" w:history="1">
              <w:r w:rsidR="007F7C5E" w:rsidRPr="001D1329">
                <w:rPr>
                  <w:rStyle w:val="Hypertextovprepojenie"/>
                  <w:rFonts w:asciiTheme="majorHAnsi" w:hAnsiTheme="majorHAnsi" w:cstheme="majorHAnsi"/>
                  <w:sz w:val="16"/>
                  <w:szCs w:val="16"/>
                </w:rPr>
                <w:t>https://app.crepc.sk/?fn=detailBiblioForm&amp;sid=ADD66581470B3E4A194534C3C3</w:t>
              </w:r>
            </w:hyperlink>
          </w:p>
          <w:p w14:paraId="6825784D" w14:textId="77777777" w:rsidR="00B13ACE" w:rsidRPr="001D1329" w:rsidRDefault="00B13ACE" w:rsidP="002370C6">
            <w:pPr>
              <w:spacing w:after="0" w:line="240" w:lineRule="auto"/>
              <w:rPr>
                <w:rFonts w:asciiTheme="majorHAnsi" w:hAnsiTheme="majorHAnsi" w:cstheme="majorHAnsi"/>
                <w:sz w:val="16"/>
                <w:szCs w:val="16"/>
                <w:lang w:val="cs-CZ" w:eastAsia="sk-SK"/>
              </w:rPr>
            </w:pPr>
          </w:p>
        </w:tc>
        <w:tc>
          <w:tcPr>
            <w:tcW w:w="312" w:type="dxa"/>
            <w:vAlign w:val="center"/>
          </w:tcPr>
          <w:p w14:paraId="0085002A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29C35D3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029D0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1502733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FC8A1E" w14:textId="77777777" w:rsidR="00B13ACE" w:rsidRPr="001D1329" w:rsidRDefault="003B49FC" w:rsidP="002370C6">
            <w:pPr>
              <w:pStyle w:val="PredformtovanHTML"/>
              <w:shd w:val="clear" w:color="auto" w:fill="F8F9FA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podiel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autora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 </w:t>
            </w:r>
            <w:r w:rsidR="00B30EC9"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Tománek</w:t>
            </w:r>
            <w:proofErr w:type="gramEnd"/>
            <w:r w:rsidR="00B30EC9"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r w:rsidR="001D1329"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3,703</w:t>
            </w:r>
            <w:r w:rsidRPr="001D1329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% / </w:t>
            </w:r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B30EC9"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Tománek</w:t>
            </w:r>
            <w:proofErr w:type="spellEnd"/>
            <w:r w:rsidR="00B30EC9"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r w:rsidR="001D1329"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3,703</w:t>
            </w:r>
            <w:r w:rsidRPr="001D1329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%</w:t>
            </w:r>
          </w:p>
          <w:p w14:paraId="754BA2BF" w14:textId="77777777" w:rsidR="00B13ACE" w:rsidRPr="001D1329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1AF7158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FD1EC43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9DF67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48C6714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, etc. 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5B636D" w14:textId="77777777" w:rsidR="00B13ACE" w:rsidRPr="001D1329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  <w:p w14:paraId="52021B7F" w14:textId="77777777" w:rsidR="00B13ACE" w:rsidRPr="001D1329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  <w:p w14:paraId="35E5BB3E" w14:textId="77777777" w:rsidR="00B30EC9" w:rsidRPr="001D1329" w:rsidRDefault="003B49FC" w:rsidP="002370C6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Podiel autora je v spracovaní : </w:t>
            </w:r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terminologické vymedzenie </w:t>
            </w:r>
            <w:proofErr w:type="spellStart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bezdomovectva</w:t>
            </w:r>
            <w:proofErr w:type="spellEnd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príčiny, prejavy. </w:t>
            </w:r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share</w:t>
            </w:r>
            <w:proofErr w:type="spellEnd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processing</w:t>
            </w:r>
            <w:proofErr w:type="spellEnd"/>
            <w:r w:rsidR="00B30EC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terminological</w:t>
            </w:r>
            <w:proofErr w:type="spellEnd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definition</w:t>
            </w:r>
            <w:proofErr w:type="spellEnd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homelessness</w:t>
            </w:r>
            <w:proofErr w:type="spellEnd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causes</w:t>
            </w:r>
            <w:proofErr w:type="spellEnd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manifestations</w:t>
            </w:r>
            <w:proofErr w:type="spellEnd"/>
            <w:r w:rsidR="001D1329" w:rsidRPr="001D132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</w:t>
            </w:r>
          </w:p>
          <w:p w14:paraId="494D06C6" w14:textId="77777777" w:rsidR="00B13ACE" w:rsidRPr="001D1329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B09BE2F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4A5971B2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361A25B" w14:textId="77777777" w:rsidR="00B13ACE" w:rsidRPr="00790508" w:rsidRDefault="005D6F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in English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9E32A1" w14:textId="77777777" w:rsidR="001D1329" w:rsidRPr="001D1329" w:rsidRDefault="001D1329" w:rsidP="002370C6">
            <w:pPr>
              <w:pStyle w:val="Pa42"/>
              <w:spacing w:line="240" w:lineRule="auto"/>
              <w:jc w:val="both"/>
              <w:rPr>
                <w:rFonts w:asciiTheme="majorHAnsi" w:hAnsiTheme="majorHAnsi" w:cstheme="majorHAnsi"/>
                <w:color w:val="221E1F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>Introduction</w:t>
            </w:r>
            <w:proofErr w:type="spellEnd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 xml:space="preserve">: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Homeless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populations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in EU and USA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presents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an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in</w:t>
            </w:r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softHyphen/>
              <w:t>creasing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demographic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.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Social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pathology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includes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substance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or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alcohol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abuse,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family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and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unemployment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distress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, and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several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other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factors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re</w:t>
            </w:r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softHyphen/>
              <w:t>sulting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to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poverty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and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homelessness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. </w:t>
            </w:r>
          </w:p>
          <w:p w14:paraId="170945D3" w14:textId="77777777" w:rsidR="001D1329" w:rsidRPr="001D1329" w:rsidRDefault="001D1329" w:rsidP="002370C6">
            <w:pPr>
              <w:pStyle w:val="Pa42"/>
              <w:spacing w:line="240" w:lineRule="auto"/>
              <w:jc w:val="both"/>
              <w:rPr>
                <w:rFonts w:asciiTheme="majorHAnsi" w:hAnsiTheme="majorHAnsi" w:cstheme="majorHAnsi"/>
                <w:color w:val="221E1F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>Patients</w:t>
            </w:r>
            <w:proofErr w:type="spellEnd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 xml:space="preserve"> and </w:t>
            </w:r>
            <w:proofErr w:type="spellStart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>Methods</w:t>
            </w:r>
            <w:proofErr w:type="spellEnd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 xml:space="preserve">: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The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purpose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of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this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study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was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to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analyze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the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spectrum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of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both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communicable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and non-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communicable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diseases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in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two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different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urban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environments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: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Large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metropolitan area (BA) ver</w:t>
            </w:r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softHyphen/>
              <w:t xml:space="preserve">sus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small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regional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town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(NZ);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one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with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500,000 and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other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with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50,000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population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. </w:t>
            </w:r>
          </w:p>
          <w:p w14:paraId="59C86287" w14:textId="77777777" w:rsidR="001D1329" w:rsidRPr="001D1329" w:rsidRDefault="001D1329" w:rsidP="002370C6">
            <w:pPr>
              <w:pStyle w:val="Pa42"/>
              <w:spacing w:line="240" w:lineRule="auto"/>
              <w:jc w:val="both"/>
              <w:rPr>
                <w:rFonts w:asciiTheme="majorHAnsi" w:hAnsiTheme="majorHAnsi" w:cstheme="majorHAnsi"/>
                <w:color w:val="221E1F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>Results</w:t>
            </w:r>
            <w:proofErr w:type="spellEnd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 xml:space="preserve">: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Between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January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2014 to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December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2019, 9,896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homeless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patients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in Bratislava and 299 in Nove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Zamky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were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analyzed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for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the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spectrum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of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communicable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and non-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communicable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disieases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.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Com</w:t>
            </w:r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softHyphen/>
              <w:t>monest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ID had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seasonal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occurrence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;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respiratory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tract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infections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(RTI) in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November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to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March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, and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gastrointestinal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from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June to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September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. </w:t>
            </w:r>
          </w:p>
          <w:p w14:paraId="7778BBB1" w14:textId="77777777" w:rsidR="00B13ACE" w:rsidRPr="001D1329" w:rsidRDefault="001D1329" w:rsidP="002370C6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sz w:val="16"/>
                <w:szCs w:val="16"/>
                <w:lang w:val="en-US" w:eastAsia="sk-SK"/>
              </w:rPr>
            </w:pPr>
            <w:proofErr w:type="spellStart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>Conclusion</w:t>
            </w:r>
            <w:proofErr w:type="spellEnd"/>
            <w:r w:rsidRPr="001D1329">
              <w:rPr>
                <w:rFonts w:asciiTheme="majorHAnsi" w:hAnsiTheme="majorHAnsi" w:cstheme="majorHAnsi"/>
                <w:bCs/>
                <w:color w:val="221E1F"/>
                <w:sz w:val="16"/>
                <w:szCs w:val="16"/>
              </w:rPr>
              <w:t xml:space="preserve">: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Vaccination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of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all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homeless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should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be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considered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to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pre</w:t>
            </w:r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softHyphen/>
              <w:t>vent</w:t>
            </w:r>
            <w:proofErr w:type="spellEnd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 xml:space="preserve"> RTI TB, HIV, HCV in </w:t>
            </w:r>
            <w:proofErr w:type="spellStart"/>
            <w:r w:rsidRPr="001D1329">
              <w:rPr>
                <w:rFonts w:asciiTheme="majorHAnsi" w:hAnsiTheme="majorHAnsi" w:cstheme="majorHAnsi"/>
                <w:color w:val="221E1F"/>
                <w:sz w:val="16"/>
                <w:szCs w:val="16"/>
              </w:rPr>
              <w:t>shelters</w:t>
            </w:r>
            <w:proofErr w:type="spellEnd"/>
          </w:p>
        </w:tc>
        <w:tc>
          <w:tcPr>
            <w:tcW w:w="312" w:type="dxa"/>
            <w:vAlign w:val="center"/>
          </w:tcPr>
          <w:p w14:paraId="6DC56FA8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20C924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46BA8A2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significant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citations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corresponding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312912" w14:textId="77777777" w:rsidR="001D1329" w:rsidRPr="001D1329" w:rsidRDefault="001D1329" w:rsidP="002370C6">
            <w:pPr>
              <w:numPr>
                <w:ilvl w:val="0"/>
                <w:numId w:val="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Naddour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A. et al. 2020.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Scabies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commonest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skin/soft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tissue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infection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(SSTI) in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refugee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children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adults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escaping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war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Middle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East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via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Turkish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Ukrainian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border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. In </w:t>
            </w:r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Lekársky obzor,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5, 2020. s. 377-379. ISSN 0457-4214.</w:t>
            </w:r>
          </w:p>
          <w:p w14:paraId="26013F54" w14:textId="77777777" w:rsidR="001D1329" w:rsidRPr="001D1329" w:rsidRDefault="001D1329" w:rsidP="002370C6">
            <w:pPr>
              <w:numPr>
                <w:ilvl w:val="0"/>
                <w:numId w:val="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Kimuli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M. et al. 2020. To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bring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chidren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from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street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to school-20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years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experience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educational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/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nutrition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/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healthcare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programme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focused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on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streetchildren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orphans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in Burundi, Rwanda,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Kenya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Sudan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Ethiopia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,</w:t>
            </w:r>
            <w:r w:rsidRPr="001D1329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 xml:space="preserve">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Uganda, Lesotho,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Chad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Madagascar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Mozambique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. In </w:t>
            </w:r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Lekársky obzor,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5, 2020. s. 364-366.  ISSN 0457-4214.</w:t>
            </w:r>
          </w:p>
          <w:p w14:paraId="18E73E4D" w14:textId="77777777" w:rsidR="001D1329" w:rsidRPr="001D1329" w:rsidRDefault="001D1329" w:rsidP="002370C6">
            <w:pPr>
              <w:numPr>
                <w:ilvl w:val="0"/>
                <w:numId w:val="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Herdics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G. -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Prochazkova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K. 2017. A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daily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low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treshold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shelter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for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homeless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population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. In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Clinical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Social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Work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and Health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Intervention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,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8, 2017. s. 1, 11-13.</w:t>
            </w:r>
          </w:p>
          <w:p w14:paraId="7A4DE011" w14:textId="77777777" w:rsidR="001D1329" w:rsidRPr="001D1329" w:rsidRDefault="001D1329" w:rsidP="002370C6">
            <w:pPr>
              <w:numPr>
                <w:ilvl w:val="0"/>
                <w:numId w:val="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>Foltin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V. et al.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Hospital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Utilization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Trends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in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Selected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New EU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Member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States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. In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Clinical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Social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Work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and Health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Intervention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,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2, 2020. s. 12-18.</w:t>
            </w:r>
          </w:p>
          <w:p w14:paraId="1899F30D" w14:textId="77777777" w:rsidR="00B13ACE" w:rsidRPr="001D1329" w:rsidRDefault="001D1329" w:rsidP="002370C6">
            <w:pPr>
              <w:numPr>
                <w:ilvl w:val="0"/>
                <w:numId w:val="3"/>
              </w:numPr>
              <w:tabs>
                <w:tab w:val="left" w:pos="232"/>
              </w:tabs>
              <w:spacing w:after="0" w:line="240" w:lineRule="auto"/>
              <w:ind w:left="0" w:firstLine="0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West, D. J. et al. </w:t>
            </w:r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Latin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American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Immigration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. Public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Health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Implications</w:t>
            </w:r>
            <w:proofErr w:type="spellEnd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 xml:space="preserve"> and </w:t>
            </w:r>
            <w:proofErr w:type="spellStart"/>
            <w:r w:rsidRPr="001D1329">
              <w:rPr>
                <w:rFonts w:asciiTheme="majorHAnsi" w:eastAsia="Calibri" w:hAnsiTheme="majorHAnsi" w:cstheme="majorHAnsi"/>
                <w:bCs/>
                <w:color w:val="272626"/>
                <w:sz w:val="16"/>
                <w:szCs w:val="16"/>
                <w:lang w:val="cs-CZ" w:eastAsia="cs-CZ"/>
              </w:rPr>
              <w:t>Challenges</w:t>
            </w:r>
            <w:proofErr w:type="spellEnd"/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. In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Clinical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Social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Work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and Health </w:t>
            </w:r>
            <w:proofErr w:type="spellStart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>Intervention</w:t>
            </w:r>
            <w:proofErr w:type="spellEnd"/>
            <w:r w:rsidRPr="001D1329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,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2, 2020. s.41-44.</w:t>
            </w:r>
          </w:p>
        </w:tc>
        <w:tc>
          <w:tcPr>
            <w:tcW w:w="312" w:type="dxa"/>
            <w:vAlign w:val="center"/>
          </w:tcPr>
          <w:p w14:paraId="650DEB66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785BB78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755838B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practice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8FE42" w14:textId="77777777" w:rsidR="00B13ACE" w:rsidRDefault="000353C4" w:rsidP="002370C6">
            <w:pPr>
              <w:pStyle w:val="PredformtovanHTML"/>
              <w:shd w:val="clear" w:color="auto" w:fill="F8F9FA"/>
              <w:rPr>
                <w:rFonts w:asciiTheme="majorHAnsi" w:hAnsiTheme="majorHAnsi" w:cstheme="majorHAnsi"/>
                <w:sz w:val="16"/>
                <w:szCs w:val="16"/>
              </w:rPr>
            </w:pP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Výstup reflektuje aktuálnu situáciu ohľadom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bezdomovectva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v súčasných podmienkach nielen Európy. /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output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reflects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situation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regarding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homelessness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conditions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not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only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in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Europe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2CFF6708" w14:textId="77777777" w:rsidR="005D6F00" w:rsidRDefault="005D6F00" w:rsidP="002370C6">
            <w:pPr>
              <w:pStyle w:val="PredformtovanHTML"/>
              <w:shd w:val="clear" w:color="auto" w:fill="F8F9FA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5D206397" w14:textId="77777777" w:rsid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Významným dopadom výstupu je zvýšenie odbornosti a praktického výkonu sociálnej práce, z administratívneho byrokratického rámca k intenzívnej a efektívnej práci s klientom pri rešpektovaní základných východísk a postulátov v danej oblasti skúmania sociálnej práce s prepojením na pozitívny hospodársky a sociálny dopad sociálnej práce si rozvoji ľudského kapitálu, sociálneho kapitálu.  Výstup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prispieva k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zvýš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eniu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informovanosti nielen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vedeckej obce, ale aj laickej i odbornej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komunity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 študentov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ej problematike, trendoch alebo nových poznatkoch v oblasti spoločenskej alebo hospodárskej praxe.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expertise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performance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administrative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bureaucratic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intensive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while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respecting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basic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principles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connection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contributes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awareness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new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3E996ED9" w14:textId="77777777" w:rsid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1F3E5041" w14:textId="77777777" w:rsid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podnecuje viaceré objekty vedeckej, odbornej i laickej verejnosti a študentov smerom k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diskusie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 cieľom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hlbšiemu porozumeniu problému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hľadaniu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možný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riešen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í. 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ôže ovplyvniť názory a postoje ľudí k určitým spoločenským alebo hospodárskym otázkam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podnietiť zmenu postoja 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vedeckej, odbornej i laickej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, politikov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 aj študentov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voči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skúmanej problematike. Výstup 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môže ovplyvniť medzinárodné vzťahy a spoluprácu medzi krajinami alebo medzinárodnými organizáciami prostredníctvom diskusie o globálnych otázkach alebo konkrétnych problémoch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rámci systému európskych sociálnych politík a dosahovaní cieľov Agendy 2030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</w:t>
            </w:r>
            <w:r w:rsidRPr="00456BCA"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objects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deeper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possible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solutions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people's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opinions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certain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change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politicians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investigated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relations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between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countries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organizations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global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achievement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goals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2030 Agenda.</w:t>
            </w:r>
          </w:p>
          <w:p w14:paraId="349983CA" w14:textId="77777777" w:rsid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6A430BB" w14:textId="6E0BD696" w:rsidR="005D6F00" w:rsidRP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Závery bádania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/výskumu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uvedené vo vedeckej  monograf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ii/zborníku/príspevku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ú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význam pri súčasných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tendenciách, turbulenciách spoločenského života, ako aj výzvach postmodernej doby v rôznych oblastiach spoločenského života. /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conclusions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current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tendencies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turbulences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challenges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postmodern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era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23EE497B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097432B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759E8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242311" w14:textId="77777777" w:rsidR="00B13ACE" w:rsidRDefault="000353C4" w:rsidP="005D6F00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Výstup reflektuje aktuálnu situáciu ohľadom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bezdomovectva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podáva možné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spôsboy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riešenia a aktivizácie ľudí bez domova do normálneho života. </w:t>
            </w:r>
            <w:r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/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output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reflects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situation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regarding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homelessness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provides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possible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solutions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activates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homeless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people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into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normal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life</w:t>
            </w:r>
            <w:proofErr w:type="spellEnd"/>
            <w:r w:rsidR="001D1329" w:rsidRPr="001D1329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7DB6F5C" w14:textId="77777777" w:rsid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B8EEAC3" w14:textId="77777777" w:rsidR="005D6F00" w:rsidRPr="00456BCA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Vo vzdelávacom procese táto  štúdia koreluje s  viacerými predmetmi, ako je teória sociálnej práce, základy sociálnej práce, metódy sociálnej práce,  komunitná sociálna práce, sociálna práca v zdravotníctve,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či </w:t>
            </w: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sociálna politika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correlates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policy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70876FCF" w14:textId="77777777" w:rsid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4B423E93" w14:textId="77777777" w:rsidR="005D6F00" w:rsidRPr="00456BCA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je určená pre vedeckú, ale i odbornú verejnosť, ktorá sa danou problematikou zaoberá. 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 poskytuje relevantné informácie, ktoré pojednávajú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 demografických zmenách a trendoch, ktoré prináša spoločný európsky priestor.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intended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deals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relevant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discusses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demographic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changes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brought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space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29440EA2" w14:textId="77777777" w:rsidR="005D6F00" w:rsidRDefault="005D6F00" w:rsidP="005D6F0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2B4F2970" w14:textId="03A68C76" w:rsidR="005D6F00" w:rsidRPr="001D1329" w:rsidRDefault="005D6F00" w:rsidP="005D6F00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Výstup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slúž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ako vzdelávac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í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zdroj pre verejnosť,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vedeckých pracovníkov,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odborníkov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laickú komunitu,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 aj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študentov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 skvalitňovaní študijného programu a je priamo prepojený na predmet sociálne služby, teória a metódy sociálnej práce a iné voliteľné predmety pre prípravu budúcich sociálnych pracovníkov, je cenným zdrojom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/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</w:t>
            </w:r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se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rves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program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directly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connected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future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valuable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.</w:t>
            </w:r>
          </w:p>
        </w:tc>
        <w:tc>
          <w:tcPr>
            <w:tcW w:w="312" w:type="dxa"/>
            <w:vAlign w:val="center"/>
          </w:tcPr>
          <w:p w14:paraId="16F56E5A" w14:textId="77777777" w:rsidR="00B13ACE" w:rsidRPr="00790508" w:rsidRDefault="00B13ACE" w:rsidP="002370C6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</w:tbl>
    <w:p w14:paraId="25F8A59C" w14:textId="77777777" w:rsidR="00B13ACE" w:rsidRPr="00790508" w:rsidRDefault="00B13ACE" w:rsidP="001D1329">
      <w:pPr>
        <w:rPr>
          <w:rFonts w:asciiTheme="majorHAnsi" w:hAnsiTheme="majorHAnsi" w:cstheme="majorHAnsi"/>
        </w:rPr>
      </w:pPr>
    </w:p>
    <w:sectPr w:rsidR="00B13ACE" w:rsidRPr="007905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4C43" w14:textId="77777777" w:rsidR="00B953C5" w:rsidRDefault="00B953C5">
      <w:pPr>
        <w:spacing w:line="240" w:lineRule="auto"/>
      </w:pPr>
      <w:r>
        <w:separator/>
      </w:r>
    </w:p>
  </w:endnote>
  <w:endnote w:type="continuationSeparator" w:id="0">
    <w:p w14:paraId="5CC03425" w14:textId="77777777" w:rsidR="00B953C5" w:rsidRDefault="00B95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00000000" w:usb1="500078FF" w:usb2="00000021" w:usb3="00000000" w:csb0="600001BF" w:csb1="DFF7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98EE" w14:textId="77777777" w:rsidR="00B953C5" w:rsidRDefault="00B953C5">
      <w:pPr>
        <w:spacing w:after="0"/>
      </w:pPr>
      <w:r>
        <w:separator/>
      </w:r>
    </w:p>
  </w:footnote>
  <w:footnote w:type="continuationSeparator" w:id="0">
    <w:p w14:paraId="59D1C088" w14:textId="77777777" w:rsidR="00B953C5" w:rsidRDefault="00B953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7050732"/>
    <w:multiLevelType w:val="hybridMultilevel"/>
    <w:tmpl w:val="4752746E"/>
    <w:lvl w:ilvl="0" w:tplc="C4D82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01B09"/>
    <w:multiLevelType w:val="hybridMultilevel"/>
    <w:tmpl w:val="BD2CDBC4"/>
    <w:lvl w:ilvl="0" w:tplc="65C82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827850">
    <w:abstractNumId w:val="0"/>
  </w:num>
  <w:num w:numId="2" w16cid:durableId="492992901">
    <w:abstractNumId w:val="2"/>
  </w:num>
  <w:num w:numId="3" w16cid:durableId="1181116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53C4"/>
    <w:rsid w:val="000A17C0"/>
    <w:rsid w:val="00190A9C"/>
    <w:rsid w:val="001D1329"/>
    <w:rsid w:val="00211BB7"/>
    <w:rsid w:val="002370C6"/>
    <w:rsid w:val="003B49FC"/>
    <w:rsid w:val="00451358"/>
    <w:rsid w:val="004B3935"/>
    <w:rsid w:val="004C0ADE"/>
    <w:rsid w:val="005D6F00"/>
    <w:rsid w:val="0073261A"/>
    <w:rsid w:val="0075266F"/>
    <w:rsid w:val="00790508"/>
    <w:rsid w:val="007F7C5E"/>
    <w:rsid w:val="008D5E9A"/>
    <w:rsid w:val="00AE2ECB"/>
    <w:rsid w:val="00B13ACE"/>
    <w:rsid w:val="00B30EC9"/>
    <w:rsid w:val="00B953C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EC6C"/>
  <w15:docId w15:val="{D59A713C-493E-4662-B652-8AA12007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30EC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 w:eastAsia="en-US"/>
    </w:r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B30EC9"/>
    <w:rPr>
      <w:rFonts w:asciiTheme="minorHAnsi" w:eastAsiaTheme="minorHAnsi" w:hAnsiTheme="minorHAnsi" w:cstheme="minorBidi"/>
      <w:lang w:val="sk-SK" w:eastAsia="en-US"/>
    </w:rPr>
  </w:style>
  <w:style w:type="character" w:customStyle="1" w:styleId="text-success">
    <w:name w:val="text-success"/>
    <w:basedOn w:val="Predvolenpsmoodseku"/>
    <w:rsid w:val="00B30EC9"/>
  </w:style>
  <w:style w:type="character" w:styleId="PouitHypertextovPrepojenie">
    <w:name w:val="FollowedHyperlink"/>
    <w:basedOn w:val="Predvolenpsmoodseku"/>
    <w:uiPriority w:val="99"/>
    <w:semiHidden/>
    <w:unhideWhenUsed/>
    <w:rsid w:val="007F7C5E"/>
    <w:rPr>
      <w:color w:val="954F72" w:themeColor="followedHyperlink"/>
      <w:u w:val="single"/>
    </w:rPr>
  </w:style>
  <w:style w:type="paragraph" w:customStyle="1" w:styleId="Default">
    <w:name w:val="Default"/>
    <w:rsid w:val="001D132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42">
    <w:name w:val="Pa42"/>
    <w:basedOn w:val="Default"/>
    <w:next w:val="Default"/>
    <w:uiPriority w:val="99"/>
    <w:rsid w:val="001D1329"/>
    <w:pPr>
      <w:spacing w:line="211" w:lineRule="atLeast"/>
    </w:pPr>
    <w:rPr>
      <w:color w:val="auto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D6F00"/>
    <w:rPr>
      <w:rFonts w:ascii="Courier New" w:eastAsia="Times New Roman" w:hAnsi="Courier New" w:cs="Courier New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app.crepc.sk/?fn=detailBiblioForm&amp;sid=ADD66581470B3E4A194534C3C3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2130</Words>
  <Characters>12143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Pavol Tomanek</cp:lastModifiedBy>
  <cp:revision>8</cp:revision>
  <dcterms:created xsi:type="dcterms:W3CDTF">2022-05-22T13:03:00Z</dcterms:created>
  <dcterms:modified xsi:type="dcterms:W3CDTF">2024-02-05T17:16:00Z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